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722A6C6" w14:textId="2FA91565" w:rsidR="00EA6E35" w:rsidRPr="00EA6E35" w:rsidRDefault="00EA6E35" w:rsidP="00EA6E35">
      <w:pPr>
        <w:spacing w:after="0" w:line="240" w:lineRule="auto"/>
        <w:rPr>
          <w:rFonts w:ascii="Calibri" w:hAnsi="Calibri" w:cs="Calibri"/>
          <w:color w:val="FF0000"/>
          <w:sz w:val="32"/>
          <w:szCs w:val="32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497CA" wp14:editId="71283C95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A92E7" w14:textId="3B121C22" w:rsidR="00EA6E35" w:rsidRDefault="00EA6E35" w:rsidP="00EA6E3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1A1FF79A" wp14:editId="7572401A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929E75" w14:textId="77777777" w:rsidR="00EA6E35" w:rsidRDefault="00EA6E35" w:rsidP="00EA6E3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49D5AF9E" w14:textId="77777777" w:rsidR="00EA6E35" w:rsidRDefault="00EA6E35" w:rsidP="00EA6E3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25BF1452" w14:textId="77777777" w:rsidR="00EA6E35" w:rsidRDefault="00EA6E35" w:rsidP="00EA6E3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2E7B520D" w14:textId="77777777" w:rsidR="00EA6E35" w:rsidRDefault="00EA6E35" w:rsidP="00EA6E3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C6497C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576A92E7" w14:textId="3B121C22" w:rsidR="00EA6E35" w:rsidRDefault="00EA6E35" w:rsidP="00EA6E3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 w:eastAsia="el-GR"/>
                        </w:rPr>
                        <w:drawing>
                          <wp:inline distT="0" distB="0" distL="0" distR="0" wp14:anchorId="1A1FF79A" wp14:editId="7572401A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929E75" w14:textId="77777777" w:rsidR="00EA6E35" w:rsidRDefault="00EA6E35" w:rsidP="00EA6E3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49D5AF9E" w14:textId="77777777" w:rsidR="00EA6E35" w:rsidRDefault="00EA6E35" w:rsidP="00EA6E3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25BF1452" w14:textId="77777777" w:rsidR="00EA6E35" w:rsidRDefault="00EA6E35" w:rsidP="00EA6E3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2E7B520D" w14:textId="77777777" w:rsidR="00EA6E35" w:rsidRDefault="00EA6E35" w:rsidP="00EA6E3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 w:val="24"/>
          <w:szCs w:val="24"/>
        </w:rPr>
        <w:t xml:space="preserve"> </w:t>
      </w:r>
    </w:p>
    <w:p w14:paraId="6764CF59" w14:textId="77777777" w:rsidR="00EA6E35" w:rsidRPr="00EA6E35" w:rsidRDefault="00EA6E35" w:rsidP="00EA6E3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14:paraId="217365DF" w14:textId="77777777" w:rsidR="00EA6E35" w:rsidRPr="00EA6E35" w:rsidRDefault="00EA6E35" w:rsidP="00EA6E35">
      <w:pPr>
        <w:spacing w:after="0" w:line="240" w:lineRule="auto"/>
        <w:ind w:left="-284"/>
        <w:jc w:val="center"/>
        <w:rPr>
          <w:rFonts w:ascii="Calibri" w:hAnsi="Calibri" w:cs="Calibri"/>
          <w:sz w:val="32"/>
          <w:szCs w:val="32"/>
        </w:rPr>
      </w:pPr>
    </w:p>
    <w:p w14:paraId="66E7D2C2" w14:textId="77777777" w:rsidR="00EA6E35" w:rsidRPr="00EA6E35" w:rsidRDefault="00EA6E35" w:rsidP="00EA6E35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668D42E7" w14:textId="77777777" w:rsidR="00EA6E35" w:rsidRPr="00EA6E35" w:rsidRDefault="00EA6E35" w:rsidP="00EA6E35">
      <w:pPr>
        <w:pStyle w:val="aa"/>
        <w:ind w:firstLine="0"/>
        <w:rPr>
          <w:rFonts w:cs="Calibri"/>
          <w:sz w:val="24"/>
          <w:szCs w:val="24"/>
        </w:rPr>
      </w:pPr>
    </w:p>
    <w:p w14:paraId="544C7D5F" w14:textId="2B6658A1" w:rsidR="00EA6E35" w:rsidRPr="00EA6E35" w:rsidRDefault="00EA6E35" w:rsidP="00CC10DA">
      <w:pPr>
        <w:pStyle w:val="aa"/>
        <w:ind w:firstLine="0"/>
        <w:jc w:val="right"/>
        <w:rPr>
          <w:rFonts w:cs="Calibri"/>
          <w:sz w:val="24"/>
          <w:szCs w:val="24"/>
        </w:rPr>
      </w:pPr>
      <w:r w:rsidRPr="00EA6E35">
        <w:rPr>
          <w:rFonts w:cs="Calibri"/>
          <w:sz w:val="24"/>
          <w:szCs w:val="24"/>
        </w:rPr>
        <w:t xml:space="preserve">                   </w:t>
      </w:r>
      <w:bookmarkStart w:id="1" w:name="_Hlk158298325"/>
      <w:r w:rsidRPr="00EA6E35">
        <w:rPr>
          <w:rFonts w:cs="Calibri"/>
          <w:sz w:val="24"/>
          <w:szCs w:val="24"/>
        </w:rPr>
        <w:t>Αθήνα, 30 Ιουλίου 2024</w:t>
      </w:r>
      <w:bookmarkEnd w:id="1"/>
    </w:p>
    <w:p w14:paraId="6715D7AF" w14:textId="77777777" w:rsidR="00CC10DA" w:rsidRDefault="00CC10DA" w:rsidP="00EA6E35">
      <w:pPr>
        <w:spacing w:after="0" w:line="360" w:lineRule="auto"/>
        <w:ind w:left="2880" w:firstLine="720"/>
        <w:jc w:val="both"/>
        <w:rPr>
          <w:rFonts w:ascii="Calibri" w:hAnsi="Calibri" w:cs="Calibri"/>
          <w:sz w:val="24"/>
          <w:szCs w:val="24"/>
        </w:rPr>
      </w:pPr>
    </w:p>
    <w:p w14:paraId="7A877C6A" w14:textId="70BB937B" w:rsidR="006B0D77" w:rsidRPr="00CC10DA" w:rsidRDefault="006B0D77" w:rsidP="00EA6E35">
      <w:pPr>
        <w:spacing w:after="0" w:line="360" w:lineRule="auto"/>
        <w:ind w:left="2880" w:firstLine="720"/>
        <w:jc w:val="both"/>
        <w:rPr>
          <w:rFonts w:ascii="Calibri" w:hAnsi="Calibri" w:cs="Calibri"/>
          <w:b/>
          <w:sz w:val="24"/>
          <w:szCs w:val="24"/>
        </w:rPr>
      </w:pPr>
      <w:r w:rsidRPr="00CC10DA">
        <w:rPr>
          <w:rFonts w:ascii="Calibri" w:hAnsi="Calibri" w:cs="Calibri"/>
          <w:b/>
          <w:sz w:val="24"/>
          <w:szCs w:val="24"/>
        </w:rPr>
        <w:t>Ανακοίνωση</w:t>
      </w:r>
    </w:p>
    <w:p w14:paraId="203FA75C" w14:textId="77777777" w:rsidR="007F5548" w:rsidRDefault="007F5548" w:rsidP="006B0D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5A4A8AE" w14:textId="78BDB117" w:rsidR="006B0D77" w:rsidRPr="00112CF3" w:rsidRDefault="006B0D77" w:rsidP="006B0D77">
      <w:pPr>
        <w:spacing w:after="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112CF3">
        <w:rPr>
          <w:rFonts w:ascii="Calibri" w:hAnsi="Calibri" w:cs="Calibri"/>
          <w:b/>
          <w:sz w:val="24"/>
          <w:szCs w:val="24"/>
        </w:rPr>
        <w:t>Νόμιμη η ανάκληση της παραχώρησης του ακινήτου προς τον Σύλλογο Ελλήνων Αρχαιολόγων</w:t>
      </w:r>
    </w:p>
    <w:p w14:paraId="44BF5042" w14:textId="77777777" w:rsidR="006B0D77" w:rsidRPr="00EA6E35" w:rsidRDefault="006B0D77" w:rsidP="006B0D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0A45C89" w14:textId="08E7EEC2" w:rsidR="006B0D77" w:rsidRPr="00EA6E35" w:rsidRDefault="006B0D77" w:rsidP="006B0D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A6E35">
        <w:rPr>
          <w:rFonts w:ascii="Calibri" w:hAnsi="Calibri" w:cs="Calibri"/>
          <w:sz w:val="24"/>
          <w:szCs w:val="24"/>
        </w:rPr>
        <w:t xml:space="preserve">«Από το Γραφείο Νομικού Συμβούλου του Υπουργείου Πολιτισμού, διαβιβάστηκε σε πλήρες κείμενο, η 761/2024 απόφαση του Συμβουλίου της Επικρατείας, η οποία επικύρωσε την ανάκληση της παραχώρησης -εκ μέρους του ΥΠΠΟ- προς τον Σύλλογο Ελλήνων Αρχαιολόγων (Σ.Ε.Α.), του ακινήτου της Ερμού 134-136, το οποίο έχει χαρακτηρισθεί ως «έργο τέχνης» και αποτελεί κηρυγμένο νεότερο μνημείο. </w:t>
      </w:r>
    </w:p>
    <w:p w14:paraId="6C7ED912" w14:textId="2CAE0F8B" w:rsidR="006B0D77" w:rsidRPr="00EA6E35" w:rsidRDefault="006B0D77" w:rsidP="006B0D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A6E35">
        <w:rPr>
          <w:rFonts w:ascii="Calibri" w:hAnsi="Calibri" w:cs="Calibri"/>
          <w:sz w:val="24"/>
          <w:szCs w:val="24"/>
        </w:rPr>
        <w:t xml:space="preserve">Το Δικαστήριο έκρινε ως νόμιμη την ανάκληση της παραχώρησης, καθώς τεκμηριώθηκε από τα έγγραφα της δικογραφίας ότι οι Υπουργοί Πολιτισμού -το 1982 και το 1996- παραχώρησαν το ακίνητο αποκλειστικά στον Σ.Ε.Α. για δράσεις των αρχαιολόγων-μελών του, συμβατές με το μνημείο.  Επιπροσθέτως ουδέποτε έδωσαν στον Σ.Ε.Α, ούτε άμεσα ούτε έμμεσα, το δικαίωμα να διαθέτει το ακίνητο σε τρίτους για δικές τους δράσεις. </w:t>
      </w:r>
      <w:proofErr w:type="spellStart"/>
      <w:r w:rsidRPr="00EA6E35">
        <w:rPr>
          <w:rFonts w:ascii="Calibri" w:hAnsi="Calibri" w:cs="Calibri"/>
          <w:sz w:val="24"/>
          <w:szCs w:val="24"/>
        </w:rPr>
        <w:t>Παραταύτα</w:t>
      </w:r>
      <w:proofErr w:type="spellEnd"/>
      <w:r w:rsidRPr="00EA6E35">
        <w:rPr>
          <w:rFonts w:ascii="Calibri" w:hAnsi="Calibri" w:cs="Calibri"/>
          <w:sz w:val="24"/>
          <w:szCs w:val="24"/>
        </w:rPr>
        <w:t xml:space="preserve">, ο Σ.Ε.Α. παραχωρούσε το μνημείο συστηματικά και επί μακρόν, σε τρίτα πρόσωπα για δικές τους δραστηριότητες κάθε φύσης. </w:t>
      </w:r>
    </w:p>
    <w:p w14:paraId="595A778E" w14:textId="77777777" w:rsidR="006B0D77" w:rsidRPr="00EA6E35" w:rsidRDefault="006B0D77" w:rsidP="006B0D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A6E35">
        <w:rPr>
          <w:rFonts w:ascii="Calibri" w:hAnsi="Calibri" w:cs="Calibri"/>
          <w:sz w:val="24"/>
          <w:szCs w:val="24"/>
        </w:rPr>
        <w:t>Η απόφαση αναφέρει ρητά και συνεκτιμά τα εξής:</w:t>
      </w:r>
    </w:p>
    <w:p w14:paraId="7EA971B3" w14:textId="77777777" w:rsidR="006B0D77" w:rsidRPr="00EA6E35" w:rsidRDefault="006B0D77" w:rsidP="006B0D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A6E35">
        <w:rPr>
          <w:rFonts w:ascii="Calibri" w:hAnsi="Calibri" w:cs="Calibri"/>
          <w:sz w:val="24"/>
          <w:szCs w:val="24"/>
        </w:rPr>
        <w:t xml:space="preserve">1. Τις δράσεις τρίτων εντός του μνημείου, τις οποίες αυτοβούλως γνώρισε στην Υπουργό Πολιτισμού, η ίδια η (τότε) Πρόεδρος του Σ.Ε.Α. με την 120/4.8.2023 επιστολή της (ενδεικτικά: Ετήσιες γιορτές της Αλσατίας, του Μεξικού, διάφορα </w:t>
      </w:r>
      <w:proofErr w:type="spellStart"/>
      <w:r w:rsidRPr="00EA6E35">
        <w:rPr>
          <w:rFonts w:ascii="Calibri" w:hAnsi="Calibri" w:cs="Calibri"/>
          <w:sz w:val="24"/>
          <w:szCs w:val="24"/>
        </w:rPr>
        <w:t>μπαζάρ</w:t>
      </w:r>
      <w:proofErr w:type="spellEnd"/>
      <w:r w:rsidRPr="00EA6E35">
        <w:rPr>
          <w:rFonts w:ascii="Calibri" w:hAnsi="Calibri" w:cs="Calibri"/>
          <w:sz w:val="24"/>
          <w:szCs w:val="24"/>
        </w:rPr>
        <w:t xml:space="preserve">, εκδηλώσεις σχολείων, πωλήσεις βιβλίων κ.α.), </w:t>
      </w:r>
    </w:p>
    <w:p w14:paraId="457BEE8A" w14:textId="77777777" w:rsidR="006B0D77" w:rsidRPr="00EA6E35" w:rsidRDefault="006B0D77" w:rsidP="006B0D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A6E35">
        <w:rPr>
          <w:rFonts w:ascii="Calibri" w:hAnsi="Calibri" w:cs="Calibri"/>
          <w:sz w:val="24"/>
          <w:szCs w:val="24"/>
        </w:rPr>
        <w:t xml:space="preserve">2. Τις δράσεις τρίτων εντός του μνημείου, οι οποίες διαπιστώθηκαν από την Εθνική Αρχή Διαφάνειας και/ή αποδείχθηκαν από τα στοιχεία της δικογραφίας (ενδεικτικά και έναντι αντιτίμου: Πωλήσεις προϊόντων γιόγκα, πάρτι των Φωτορεπόρτερ </w:t>
      </w:r>
      <w:r w:rsidRPr="00EA6E35">
        <w:rPr>
          <w:rFonts w:ascii="Calibri" w:hAnsi="Calibri" w:cs="Calibri"/>
          <w:sz w:val="24"/>
          <w:szCs w:val="24"/>
        </w:rPr>
        <w:lastRenderedPageBreak/>
        <w:t xml:space="preserve">Ελλάδας, κοπή πίτας των κατοίκων της </w:t>
      </w:r>
      <w:proofErr w:type="spellStart"/>
      <w:r w:rsidRPr="00EA6E35">
        <w:rPr>
          <w:rFonts w:ascii="Calibri" w:hAnsi="Calibri" w:cs="Calibri"/>
          <w:sz w:val="24"/>
          <w:szCs w:val="24"/>
        </w:rPr>
        <w:t>Καστάνιανης</w:t>
      </w:r>
      <w:proofErr w:type="spellEnd"/>
      <w:r w:rsidRPr="00EA6E35">
        <w:rPr>
          <w:rFonts w:ascii="Calibri" w:hAnsi="Calibri" w:cs="Calibri"/>
          <w:sz w:val="24"/>
          <w:szCs w:val="24"/>
        </w:rPr>
        <w:t xml:space="preserve">, γλέντι </w:t>
      </w:r>
      <w:proofErr w:type="spellStart"/>
      <w:r w:rsidRPr="00EA6E35">
        <w:rPr>
          <w:rFonts w:ascii="Calibri" w:hAnsi="Calibri" w:cs="Calibri"/>
          <w:sz w:val="24"/>
          <w:szCs w:val="24"/>
        </w:rPr>
        <w:t>Ικαριωτών</w:t>
      </w:r>
      <w:proofErr w:type="spellEnd"/>
      <w:r w:rsidRPr="00EA6E35">
        <w:rPr>
          <w:rFonts w:ascii="Calibri" w:hAnsi="Calibri" w:cs="Calibri"/>
          <w:sz w:val="24"/>
          <w:szCs w:val="24"/>
        </w:rPr>
        <w:t>, συνέλευση της Ένωσης Λογιστών κ.α.),</w:t>
      </w:r>
    </w:p>
    <w:p w14:paraId="3E7B1068" w14:textId="619959E8" w:rsidR="006B0D77" w:rsidRPr="00EA6E35" w:rsidRDefault="006B0D77" w:rsidP="006B0D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A6E35">
        <w:rPr>
          <w:rFonts w:ascii="Calibri" w:hAnsi="Calibri" w:cs="Calibri"/>
          <w:sz w:val="24"/>
          <w:szCs w:val="24"/>
        </w:rPr>
        <w:t>3. Την από 4.8.2023 έγγραφη δήλωση της (τότε) Προέδρου του Σ</w:t>
      </w:r>
      <w:r w:rsidR="00EA6E35" w:rsidRPr="00EA6E35">
        <w:rPr>
          <w:rFonts w:ascii="Calibri" w:hAnsi="Calibri" w:cs="Calibri"/>
          <w:sz w:val="24"/>
          <w:szCs w:val="24"/>
        </w:rPr>
        <w:t>.</w:t>
      </w:r>
      <w:r w:rsidRPr="00EA6E35">
        <w:rPr>
          <w:rFonts w:ascii="Calibri" w:hAnsi="Calibri" w:cs="Calibri"/>
          <w:sz w:val="24"/>
          <w:szCs w:val="24"/>
        </w:rPr>
        <w:t>Ε</w:t>
      </w:r>
      <w:r w:rsidR="00EA6E35" w:rsidRPr="00EA6E35">
        <w:rPr>
          <w:rFonts w:ascii="Calibri" w:hAnsi="Calibri" w:cs="Calibri"/>
          <w:sz w:val="24"/>
          <w:szCs w:val="24"/>
        </w:rPr>
        <w:t>.</w:t>
      </w:r>
      <w:r w:rsidRPr="00EA6E35">
        <w:rPr>
          <w:rFonts w:ascii="Calibri" w:hAnsi="Calibri" w:cs="Calibri"/>
          <w:sz w:val="24"/>
          <w:szCs w:val="24"/>
        </w:rPr>
        <w:t>Α προς την Υπουργό Πολιτισμού ότι και η εκδήλωση της 18</w:t>
      </w:r>
      <w:r w:rsidRPr="00EA6E35">
        <w:rPr>
          <w:rFonts w:ascii="Calibri" w:hAnsi="Calibri" w:cs="Calibri"/>
          <w:sz w:val="24"/>
          <w:szCs w:val="24"/>
          <w:vertAlign w:val="superscript"/>
        </w:rPr>
        <w:t>ης</w:t>
      </w:r>
      <w:r w:rsidRPr="00EA6E35">
        <w:rPr>
          <w:rFonts w:ascii="Calibri" w:hAnsi="Calibri" w:cs="Calibri"/>
          <w:sz w:val="24"/>
          <w:szCs w:val="24"/>
        </w:rPr>
        <w:t xml:space="preserve">.7.2023 για το ναυάγιο της </w:t>
      </w:r>
      <w:proofErr w:type="spellStart"/>
      <w:r w:rsidRPr="00EA6E35">
        <w:rPr>
          <w:rFonts w:ascii="Calibri" w:hAnsi="Calibri" w:cs="Calibri"/>
          <w:sz w:val="24"/>
          <w:szCs w:val="24"/>
        </w:rPr>
        <w:t>Πύλου</w:t>
      </w:r>
      <w:proofErr w:type="spellEnd"/>
      <w:r w:rsidRPr="00EA6E35">
        <w:rPr>
          <w:rFonts w:ascii="Calibri" w:hAnsi="Calibri" w:cs="Calibri"/>
          <w:sz w:val="24"/>
          <w:szCs w:val="24"/>
        </w:rPr>
        <w:t>, ήταν εκδήλωση τρίτων προσώπων, επιπλέον δε και ότι ο Σ.Ε.Α. είχε συμφωνήσει να αναλάβουν τη φύλαξη και τακτοποίηση του μνημείου οι τρίτοι διοργανωτές, οι μουσικοί ακόμη δε και οι επισκέπτες τη εκδήλωσης,</w:t>
      </w:r>
    </w:p>
    <w:p w14:paraId="12312B51" w14:textId="4BD99ED7" w:rsidR="006B0D77" w:rsidRPr="00EA6E35" w:rsidRDefault="006B0D77" w:rsidP="006B0D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A6E35">
        <w:rPr>
          <w:rFonts w:ascii="Calibri" w:hAnsi="Calibri" w:cs="Calibri"/>
          <w:sz w:val="24"/>
          <w:szCs w:val="24"/>
        </w:rPr>
        <w:t xml:space="preserve">4. Την εξακολουθητική </w:t>
      </w:r>
      <w:proofErr w:type="spellStart"/>
      <w:r w:rsidRPr="00EA6E35">
        <w:rPr>
          <w:rFonts w:ascii="Calibri" w:hAnsi="Calibri" w:cs="Calibri"/>
          <w:sz w:val="24"/>
          <w:szCs w:val="24"/>
        </w:rPr>
        <w:t>παραβατική</w:t>
      </w:r>
      <w:proofErr w:type="spellEnd"/>
      <w:r w:rsidRPr="00EA6E35">
        <w:rPr>
          <w:rFonts w:ascii="Calibri" w:hAnsi="Calibri" w:cs="Calibri"/>
          <w:sz w:val="24"/>
          <w:szCs w:val="24"/>
        </w:rPr>
        <w:t xml:space="preserve"> παραχώρηση του μνημείου από τον Σ.Ε.Α. προς τρίτους, ακόμη και μετά την ανάκληση της παραχώρησης από τη Διοίκηση. Η απόφαση αναφέρει ενδεικτικά ότι ο Σ.Ε.Α., μετά την ανακλητική απόφαση, διέθεσε το μνημείο σε ομάδα </w:t>
      </w:r>
      <w:proofErr w:type="spellStart"/>
      <w:r w:rsidRPr="00EA6E35">
        <w:rPr>
          <w:rFonts w:ascii="Calibri" w:hAnsi="Calibri" w:cs="Calibri"/>
          <w:sz w:val="24"/>
          <w:szCs w:val="24"/>
        </w:rPr>
        <w:t>αυτοπροσδιοριζόμενη</w:t>
      </w:r>
      <w:proofErr w:type="spellEnd"/>
      <w:r w:rsidRPr="00EA6E35">
        <w:rPr>
          <w:rFonts w:ascii="Calibri" w:hAnsi="Calibri" w:cs="Calibri"/>
          <w:sz w:val="24"/>
          <w:szCs w:val="24"/>
        </w:rPr>
        <w:t xml:space="preserve"> ως «Συνέλευση 8 Μάρτη», η οποία διοργάνωσε πάρτι για τον φεμινισμό</w:t>
      </w:r>
      <w:r w:rsidR="00EA6E35" w:rsidRPr="00EA6E35">
        <w:rPr>
          <w:rFonts w:ascii="Calibri" w:hAnsi="Calibri" w:cs="Calibri"/>
          <w:sz w:val="24"/>
          <w:szCs w:val="24"/>
        </w:rPr>
        <w:t>,</w:t>
      </w:r>
      <w:r w:rsidRPr="00EA6E35">
        <w:rPr>
          <w:rFonts w:ascii="Calibri" w:hAnsi="Calibri" w:cs="Calibri"/>
          <w:sz w:val="24"/>
          <w:szCs w:val="24"/>
        </w:rPr>
        <w:t xml:space="preserve"> </w:t>
      </w:r>
    </w:p>
    <w:p w14:paraId="03578B7C" w14:textId="1E5ECCB5" w:rsidR="006B0D77" w:rsidRPr="00EA6E35" w:rsidRDefault="006B0D77" w:rsidP="006B0D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A6E35">
        <w:rPr>
          <w:rFonts w:ascii="Calibri" w:hAnsi="Calibri" w:cs="Calibri"/>
          <w:sz w:val="24"/>
          <w:szCs w:val="24"/>
        </w:rPr>
        <w:t xml:space="preserve">5. Την από 11.8.2024 έγγραφη πρόσκληση της Υπουργού Πολιτισμού προς τον Σ.Ε.Α. να υποβάλλει, αν επιθυμεί, αίτημα για παραχώρηση ακινήτου ως έδρας και το με </w:t>
      </w:r>
      <w:proofErr w:type="spellStart"/>
      <w:r w:rsidRPr="00EA6E35">
        <w:rPr>
          <w:rFonts w:ascii="Calibri" w:hAnsi="Calibri" w:cs="Calibri"/>
          <w:sz w:val="24"/>
          <w:szCs w:val="24"/>
        </w:rPr>
        <w:t>αρ</w:t>
      </w:r>
      <w:proofErr w:type="spellEnd"/>
      <w:r w:rsidRPr="00EA6E35">
        <w:rPr>
          <w:rFonts w:ascii="Calibri" w:hAnsi="Calibri" w:cs="Calibri"/>
          <w:sz w:val="24"/>
          <w:szCs w:val="24"/>
        </w:rPr>
        <w:t xml:space="preserve">. 153/15.9.2023 έγγραφο της (τότε) Προέδρου του Σ.Ε.Α., με το οποίο δήλωσε στην Υπουργό ότι ο Σ.Ε.Α. επιθυμούσε ακίνητο, όχι για έδρα, αλλά μόνο για προσωρινή στέγαση και δη για το συγκεκριμένο διάστημα μέχρι να εκδοθεί η απόφαση του </w:t>
      </w:r>
      <w:proofErr w:type="spellStart"/>
      <w:r w:rsidRPr="00EA6E35">
        <w:rPr>
          <w:rFonts w:ascii="Calibri" w:hAnsi="Calibri" w:cs="Calibri"/>
          <w:sz w:val="24"/>
          <w:szCs w:val="24"/>
        </w:rPr>
        <w:t>ΣτΕ</w:t>
      </w:r>
      <w:proofErr w:type="spellEnd"/>
      <w:r w:rsidRPr="00EA6E35">
        <w:rPr>
          <w:rFonts w:ascii="Calibri" w:hAnsi="Calibri" w:cs="Calibri"/>
          <w:sz w:val="24"/>
          <w:szCs w:val="24"/>
        </w:rPr>
        <w:t xml:space="preserve">. (Ο  Σ.Ε.Α. ομολογεί την επιλογή του αυτή και στο από 31.10.2023 Δελτίο Τύπου). Σημειώνεται ότι το Υπουργείο διέθεσε στον Σ.Ε.Α. ακίνητο της οδού </w:t>
      </w:r>
      <w:proofErr w:type="spellStart"/>
      <w:r w:rsidRPr="00EA6E35">
        <w:rPr>
          <w:rFonts w:ascii="Calibri" w:hAnsi="Calibri" w:cs="Calibri"/>
          <w:sz w:val="24"/>
          <w:szCs w:val="24"/>
        </w:rPr>
        <w:t>Πανός</w:t>
      </w:r>
      <w:proofErr w:type="spellEnd"/>
      <w:r w:rsidRPr="00EA6E35">
        <w:rPr>
          <w:rFonts w:ascii="Calibri" w:hAnsi="Calibri" w:cs="Calibri"/>
          <w:sz w:val="24"/>
          <w:szCs w:val="24"/>
        </w:rPr>
        <w:t xml:space="preserve"> 19, στο οποίο ο Σ.Ε.Α. τοποθέτησε το αρχείο και τη βιβλιοθήκη του, ενώ δεσμεύθηκε εγγράφως ότι θα το αποδώσει στο Υπουργείο ακριβώς την τρίτη ημερολογιακή ημέρα, μετά την έκδοση της δικαστικής απόφασης του </w:t>
      </w:r>
      <w:proofErr w:type="spellStart"/>
      <w:r w:rsidRPr="00EA6E35">
        <w:rPr>
          <w:rFonts w:ascii="Calibri" w:hAnsi="Calibri" w:cs="Calibri"/>
          <w:sz w:val="24"/>
          <w:szCs w:val="24"/>
        </w:rPr>
        <w:t>ΣτΕ</w:t>
      </w:r>
      <w:proofErr w:type="spellEnd"/>
      <w:r w:rsidRPr="00EA6E35">
        <w:rPr>
          <w:rFonts w:ascii="Calibri" w:hAnsi="Calibri" w:cs="Calibri"/>
          <w:sz w:val="24"/>
          <w:szCs w:val="24"/>
        </w:rPr>
        <w:t xml:space="preserve">, χωρίς καμία όχληση ή άλλη διαδικασία. Ωστόσο, ο Σ.Ε.Α. παραβίασε ακόμη και αυτή την προσωρινή παραχώρηση, καθώς η 761/2024 απόφαση του </w:t>
      </w:r>
      <w:proofErr w:type="spellStart"/>
      <w:r w:rsidRPr="00EA6E35">
        <w:rPr>
          <w:rFonts w:ascii="Calibri" w:hAnsi="Calibri" w:cs="Calibri"/>
          <w:sz w:val="24"/>
          <w:szCs w:val="24"/>
        </w:rPr>
        <w:t>ΣτΕ</w:t>
      </w:r>
      <w:proofErr w:type="spellEnd"/>
      <w:r w:rsidRPr="00EA6E35">
        <w:rPr>
          <w:rFonts w:ascii="Calibri" w:hAnsi="Calibri" w:cs="Calibri"/>
          <w:sz w:val="24"/>
          <w:szCs w:val="24"/>
        </w:rPr>
        <w:t xml:space="preserve"> έχει δημοσιευθεί ήδη από 29.5.2024, αλλά ο Σ.Ε.Α. δεν έχει αποδώσει το ακίνητο της οδού </w:t>
      </w:r>
      <w:proofErr w:type="spellStart"/>
      <w:r w:rsidRPr="00EA6E35">
        <w:rPr>
          <w:rFonts w:ascii="Calibri" w:hAnsi="Calibri" w:cs="Calibri"/>
          <w:sz w:val="24"/>
          <w:szCs w:val="24"/>
        </w:rPr>
        <w:t>Πανός</w:t>
      </w:r>
      <w:proofErr w:type="spellEnd"/>
      <w:r w:rsidRPr="00EA6E35">
        <w:rPr>
          <w:rFonts w:ascii="Calibri" w:hAnsi="Calibri" w:cs="Calibri"/>
          <w:sz w:val="24"/>
          <w:szCs w:val="24"/>
        </w:rPr>
        <w:t xml:space="preserve"> 19, έως και σήμερα.</w:t>
      </w:r>
    </w:p>
    <w:p w14:paraId="508ECB58" w14:textId="77777777" w:rsidR="006B0D77" w:rsidRPr="00EA6E35" w:rsidRDefault="006B0D77" w:rsidP="006B0D77">
      <w:pPr>
        <w:spacing w:after="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EA6E35">
        <w:rPr>
          <w:rFonts w:ascii="Calibri" w:hAnsi="Calibri" w:cs="Calibri"/>
          <w:sz w:val="24"/>
          <w:szCs w:val="24"/>
        </w:rPr>
        <w:t xml:space="preserve">Τέλος και ως προς τη συνδικαλιστικά δικαιώματα, που ο Σ.Ε.Α. επικαλέστηκε, ότι διαθέτει, το Δικαστήριο διαπίστωσε ότι δεν υφίσταται καν η βασική προϋπόθεση που απαιτεί ο νόμος για να θεωρηθεί ένα σωματείο ως συνδικαλιστική οργάνωση, δηλαδή την εγγραφή του στα Βιβλία των Συνδικαλιστικών Οργανώσεων της χώρας. Επισημαίνεται ότι ο Σ.Ε.Α., ουδέποτε αρνήθηκε το γεγονός ότι δεν έχει εγγραφεί στα </w:t>
      </w:r>
      <w:r w:rsidRPr="00EA6E35">
        <w:rPr>
          <w:rFonts w:ascii="Calibri" w:hAnsi="Calibri" w:cs="Calibri"/>
          <w:sz w:val="24"/>
          <w:szCs w:val="24"/>
        </w:rPr>
        <w:lastRenderedPageBreak/>
        <w:t>εν λόγω Βιβλία, αλλά δήλωσε ότι θεωρεί τη διαπίστωση αυτή του Δικαστηρίου ως «επουσιώδη» (31.5.2024 Δελτίο Τύπου).</w:t>
      </w:r>
    </w:p>
    <w:p w14:paraId="111BCAC2" w14:textId="77777777" w:rsidR="006B0D77" w:rsidRPr="00EA6E35" w:rsidRDefault="006B0D77" w:rsidP="006B0D77">
      <w:pPr>
        <w:spacing w:after="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EA6E35">
        <w:rPr>
          <w:rFonts w:ascii="Calibri" w:hAnsi="Calibri" w:cs="Calibri"/>
          <w:sz w:val="24"/>
          <w:szCs w:val="24"/>
        </w:rPr>
        <w:t>Κατόπιν των ανωτέρω, το Ανώτατο Ακυρωτικό Δικαστήριο της Χώρας κατέληξε ότι ο Σ.Ε.Α. δύναται ελευθέρως να ασκεί δραστηριότητες, σύμφωνα με τους καταστατικούς του σκοπούς, όχι όμως εντός του μνημείου της Ερμού 134-136, την παραχώρηση του οποίου παραβίασε συστηματικά».</w:t>
      </w:r>
    </w:p>
    <w:p w14:paraId="7F5BD33B" w14:textId="77777777" w:rsidR="00CD5D54" w:rsidRPr="00EA6E35" w:rsidRDefault="00CD5D54">
      <w:pPr>
        <w:rPr>
          <w:rFonts w:ascii="Calibri" w:hAnsi="Calibri" w:cs="Calibri"/>
          <w:sz w:val="24"/>
          <w:szCs w:val="24"/>
        </w:rPr>
      </w:pPr>
    </w:p>
    <w:sectPr w:rsidR="00CD5D54" w:rsidRPr="00EA6E35" w:rsidSect="006B0D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77"/>
    <w:rsid w:val="00112CF3"/>
    <w:rsid w:val="00481D88"/>
    <w:rsid w:val="006B0D77"/>
    <w:rsid w:val="007F5548"/>
    <w:rsid w:val="008032D0"/>
    <w:rsid w:val="00BE3518"/>
    <w:rsid w:val="00C16057"/>
    <w:rsid w:val="00CC10DA"/>
    <w:rsid w:val="00CD5D54"/>
    <w:rsid w:val="00DF2941"/>
    <w:rsid w:val="00EA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8C8E"/>
  <w15:chartTrackingRefBased/>
  <w15:docId w15:val="{36DF704E-6564-494A-9C29-D4EDA7C0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D77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B0D7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D7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D7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D7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D7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D7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D7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D7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D7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B0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B0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0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B0D7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B0D7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B0D7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B0D7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B0D7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B0D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B0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D7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B0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D77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6B0D7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D77"/>
    <w:pPr>
      <w:spacing w:after="0" w:line="240" w:lineRule="auto"/>
      <w:ind w:left="720"/>
      <w:contextualSpacing/>
    </w:pPr>
    <w:rPr>
      <w:sz w:val="24"/>
      <w:szCs w:val="24"/>
    </w:rPr>
  </w:style>
  <w:style w:type="character" w:styleId="a7">
    <w:name w:val="Intense Emphasis"/>
    <w:basedOn w:val="a0"/>
    <w:uiPriority w:val="21"/>
    <w:qFormat/>
    <w:rsid w:val="006B0D7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har2">
    <w:name w:val="Έντονο απόσπ. Char"/>
    <w:basedOn w:val="a0"/>
    <w:link w:val="a8"/>
    <w:uiPriority w:val="30"/>
    <w:rsid w:val="006B0D7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B0D77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EA6E35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EA6E35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E5314152-631D-47E7-9943-CA769C700651}"/>
</file>

<file path=customXml/itemProps2.xml><?xml version="1.0" encoding="utf-8"?>
<ds:datastoreItem xmlns:ds="http://schemas.openxmlformats.org/officeDocument/2006/customXml" ds:itemID="{06B26391-413A-45C2-B40B-B668A5AFF7E6}"/>
</file>

<file path=customXml/itemProps3.xml><?xml version="1.0" encoding="utf-8"?>
<ds:datastoreItem xmlns:ds="http://schemas.openxmlformats.org/officeDocument/2006/customXml" ds:itemID="{46F29C56-D6F6-49FA-8681-E975D4C55C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Νόμιμη η ανάκληση της παραχώρησης του ακινήτου προς τον Σύλλογο Ελλήνων Αρχαιολόγων</dc:title>
  <dc:subject/>
  <dc:creator>Anna Panagiotarea</dc:creator>
  <cp:keywords/>
  <dc:description/>
  <cp:lastModifiedBy>Ελευθερία Πελτέκη</cp:lastModifiedBy>
  <cp:revision>2</cp:revision>
  <dcterms:created xsi:type="dcterms:W3CDTF">2024-07-30T08:19:00Z</dcterms:created>
  <dcterms:modified xsi:type="dcterms:W3CDTF">2024-07-30T08:19:00Z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